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D28" w:rsidRPr="00DF61FA" w:rsidRDefault="008E3D28" w:rsidP="008E3D28">
      <w:pPr>
        <w:jc w:val="both"/>
        <w:rPr>
          <w:lang w:val="en-US"/>
        </w:rPr>
      </w:pPr>
      <w:proofErr w:type="spellStart"/>
      <w:r w:rsidRPr="00DF61FA">
        <w:rPr>
          <w:lang w:val="en-US"/>
        </w:rPr>
        <w:t>Antropometric</w:t>
      </w:r>
      <w:proofErr w:type="spellEnd"/>
      <w:r w:rsidRPr="00DF61FA">
        <w:rPr>
          <w:lang w:val="en-US"/>
        </w:rPr>
        <w:t xml:space="preserve"> Measurements – Adiposity-related markers </w:t>
      </w:r>
    </w:p>
    <w:p w:rsidR="008E3D28" w:rsidRPr="00DF61FA" w:rsidRDefault="008E3D28" w:rsidP="008E3D28">
      <w:pPr>
        <w:jc w:val="both"/>
        <w:rPr>
          <w:lang w:val="en-US"/>
        </w:rPr>
      </w:pPr>
      <w:r w:rsidRPr="00DF61FA">
        <w:rPr>
          <w:lang w:val="en-US"/>
        </w:rPr>
        <w:t>Anthropometric measures included body mass index (BMI), waist-to-hip ratio (WHR), total body fat, and visceral fat. These measurements were taken at the Department of Physiology of the Medical University of Plovdiv</w:t>
      </w:r>
      <w:r>
        <w:t>.</w:t>
      </w:r>
      <w:r w:rsidRPr="00DF61FA">
        <w:rPr>
          <w:lang w:val="en-US"/>
        </w:rPr>
        <w:t xml:space="preserve"> (48).  </w:t>
      </w:r>
    </w:p>
    <w:p w:rsidR="008E3D28" w:rsidRPr="00DF61FA" w:rsidRDefault="008E3D28" w:rsidP="008E3D28">
      <w:pPr>
        <w:jc w:val="both"/>
        <w:rPr>
          <w:lang w:val="en-US"/>
        </w:rPr>
      </w:pPr>
      <w:r w:rsidRPr="00DF61FA">
        <w:rPr>
          <w:lang w:val="en-US"/>
        </w:rPr>
        <w:t xml:space="preserve">Body fat percent (BF %) and visceral fat percent (VF %) were estimated based on </w:t>
      </w:r>
      <w:proofErr w:type="spellStart"/>
      <w:r w:rsidRPr="00DF61FA">
        <w:rPr>
          <w:lang w:val="en-US"/>
        </w:rPr>
        <w:t>multifrequency</w:t>
      </w:r>
      <w:proofErr w:type="spellEnd"/>
      <w:r w:rsidRPr="00DF61FA">
        <w:rPr>
          <w:lang w:val="en-US"/>
        </w:rPr>
        <w:t xml:space="preserve"> bioelectrical impedance analysis using an InBody270 </w:t>
      </w:r>
      <w:proofErr w:type="spellStart"/>
      <w:r w:rsidRPr="00DF61FA">
        <w:rPr>
          <w:lang w:val="en-US"/>
        </w:rPr>
        <w:t>analyser</w:t>
      </w:r>
      <w:proofErr w:type="spellEnd"/>
      <w:r w:rsidRPr="00DF61FA">
        <w:rPr>
          <w:lang w:val="en-US"/>
        </w:rPr>
        <w:t xml:space="preserve"> (</w:t>
      </w:r>
      <w:proofErr w:type="spellStart"/>
      <w:r w:rsidRPr="00DF61FA">
        <w:rPr>
          <w:lang w:val="en-US"/>
        </w:rPr>
        <w:t>InBody</w:t>
      </w:r>
      <w:proofErr w:type="spellEnd"/>
      <w:r w:rsidRPr="00DF61FA">
        <w:rPr>
          <w:lang w:val="en-US"/>
        </w:rPr>
        <w:t xml:space="preserve"> Co, Ltd, Korea). (49)  </w:t>
      </w:r>
    </w:p>
    <w:p w:rsidR="008E3D28" w:rsidRPr="00DF61FA" w:rsidRDefault="008E3D28" w:rsidP="008E3D28">
      <w:pPr>
        <w:jc w:val="both"/>
        <w:rPr>
          <w:lang w:val="en-US"/>
        </w:rPr>
      </w:pPr>
      <w:bookmarkStart w:id="0" w:name="_GoBack"/>
      <w:bookmarkEnd w:id="0"/>
      <w:r w:rsidRPr="00DF61FA">
        <w:rPr>
          <w:lang w:val="it-IT"/>
        </w:rPr>
        <w:t>Laboratory Diagnostic</w:t>
      </w:r>
    </w:p>
    <w:p w:rsidR="008E3D28" w:rsidRPr="00DF61FA" w:rsidRDefault="008E3D28" w:rsidP="008E3D28">
      <w:pPr>
        <w:jc w:val="both"/>
        <w:rPr>
          <w:lang w:val="en-US"/>
        </w:rPr>
      </w:pPr>
      <w:r w:rsidRPr="00DF61FA">
        <w:rPr>
          <w:lang w:val="en-US"/>
        </w:rPr>
        <w:t>The laboratory diagnostics were performed at the Central Clinic Laboratory of St. George University Hospital and encompassed the following biomarkers:</w:t>
      </w:r>
    </w:p>
    <w:p w:rsidR="008E3D28" w:rsidRPr="00DF61FA" w:rsidRDefault="008E3D28" w:rsidP="008E3D28">
      <w:pPr>
        <w:jc w:val="both"/>
        <w:rPr>
          <w:lang w:val="en-US"/>
        </w:rPr>
      </w:pPr>
      <w:r w:rsidRPr="00DF61FA">
        <w:rPr>
          <w:lang w:val="en-US"/>
        </w:rPr>
        <w:t xml:space="preserve">Lipid Metabolism Biomarkers: Total Cholesterol (TC), High-Density Lipoprotein Cholesterol (HDL-C), Low-Density Lipoprotein Cholesterol (LDL-C), </w:t>
      </w:r>
      <w:proofErr w:type="spellStart"/>
      <w:r w:rsidRPr="00DF61FA">
        <w:rPr>
          <w:lang w:val="en-US"/>
        </w:rPr>
        <w:t>Apolipoprotein</w:t>
      </w:r>
      <w:proofErr w:type="spellEnd"/>
      <w:r w:rsidRPr="00DF61FA">
        <w:rPr>
          <w:lang w:val="en-US"/>
        </w:rPr>
        <w:t xml:space="preserve"> B/</w:t>
      </w:r>
      <w:proofErr w:type="spellStart"/>
      <w:r w:rsidRPr="00DF61FA">
        <w:rPr>
          <w:lang w:val="en-US"/>
        </w:rPr>
        <w:t>Apolipoprotein</w:t>
      </w:r>
      <w:proofErr w:type="spellEnd"/>
      <w:r w:rsidRPr="00DF61FA">
        <w:rPr>
          <w:lang w:val="en-US"/>
        </w:rPr>
        <w:t xml:space="preserve"> A1 Ratio (</w:t>
      </w:r>
      <w:proofErr w:type="spellStart"/>
      <w:r w:rsidRPr="00DF61FA">
        <w:rPr>
          <w:lang w:val="en-US"/>
        </w:rPr>
        <w:t>ApoB</w:t>
      </w:r>
      <w:proofErr w:type="spellEnd"/>
      <w:r w:rsidRPr="00DF61FA">
        <w:rPr>
          <w:lang w:val="en-US"/>
        </w:rPr>
        <w:t>/ApoA1), LDL-C/HDL-C Ratio, LDL-C/</w:t>
      </w:r>
      <w:proofErr w:type="spellStart"/>
      <w:r w:rsidRPr="00DF61FA">
        <w:rPr>
          <w:lang w:val="en-US"/>
        </w:rPr>
        <w:t>Apolipoprotein</w:t>
      </w:r>
      <w:proofErr w:type="spellEnd"/>
      <w:r w:rsidRPr="00DF61FA">
        <w:rPr>
          <w:lang w:val="en-US"/>
        </w:rPr>
        <w:t xml:space="preserve"> B Ratio (LDL-C/</w:t>
      </w:r>
      <w:proofErr w:type="spellStart"/>
      <w:r w:rsidRPr="00DF61FA">
        <w:rPr>
          <w:lang w:val="en-US"/>
        </w:rPr>
        <w:t>ApoB</w:t>
      </w:r>
      <w:proofErr w:type="spellEnd"/>
      <w:r w:rsidRPr="00DF61FA">
        <w:rPr>
          <w:lang w:val="en-US"/>
        </w:rPr>
        <w:t>), Triglyceride/HDL-C Ratio, Triglycerides (TG), and Triglyceride/Glucose Index (</w:t>
      </w:r>
      <w:proofErr w:type="spellStart"/>
      <w:r w:rsidRPr="00DF61FA">
        <w:rPr>
          <w:lang w:val="en-US"/>
        </w:rPr>
        <w:t>TyG</w:t>
      </w:r>
      <w:proofErr w:type="spellEnd"/>
      <w:r w:rsidRPr="00DF61FA">
        <w:rPr>
          <w:lang w:val="en-US"/>
        </w:rPr>
        <w:t>).</w:t>
      </w:r>
      <w:r>
        <w:t xml:space="preserve"> </w:t>
      </w:r>
      <w:r w:rsidRPr="00DF61FA">
        <w:rPr>
          <w:lang w:val="en-US"/>
        </w:rPr>
        <w:t xml:space="preserve">Insulin Resistance Indicators: Blood Glucose, </w:t>
      </w:r>
      <w:proofErr w:type="spellStart"/>
      <w:r w:rsidRPr="00DF61FA">
        <w:rPr>
          <w:lang w:val="en-US"/>
        </w:rPr>
        <w:t>Immunoreactive</w:t>
      </w:r>
      <w:proofErr w:type="spellEnd"/>
      <w:r w:rsidRPr="00DF61FA">
        <w:rPr>
          <w:lang w:val="en-US"/>
        </w:rPr>
        <w:t xml:space="preserve"> Insulin, </w:t>
      </w:r>
      <w:proofErr w:type="spellStart"/>
      <w:r w:rsidRPr="00DF61FA">
        <w:rPr>
          <w:lang w:val="en-US"/>
        </w:rPr>
        <w:t>Glycated</w:t>
      </w:r>
      <w:proofErr w:type="spellEnd"/>
      <w:r w:rsidRPr="00DF61FA">
        <w:rPr>
          <w:lang w:val="en-US"/>
        </w:rPr>
        <w:t xml:space="preserve"> Hemoglobin (HbA1c), and Homeostasis Model Assessment of Insulin Resistance (HOMA-IR)</w:t>
      </w:r>
      <w:r>
        <w:t xml:space="preserve"> </w:t>
      </w:r>
      <w:r w:rsidRPr="00DF61FA">
        <w:rPr>
          <w:lang w:val="en-US"/>
        </w:rPr>
        <w:t xml:space="preserve">Inflammatory Cytokines and Biomarkers: </w:t>
      </w:r>
      <w:proofErr w:type="spellStart"/>
      <w:r w:rsidRPr="00DF61FA">
        <w:rPr>
          <w:lang w:val="en-US"/>
        </w:rPr>
        <w:t>Proinflammatory</w:t>
      </w:r>
      <w:proofErr w:type="spellEnd"/>
      <w:r w:rsidRPr="00DF61FA">
        <w:rPr>
          <w:lang w:val="en-US"/>
        </w:rPr>
        <w:t xml:space="preserve"> Cytokines—Interleukin-6 (IL-6) and Tumor Necrosis Factor-alpha (TNF-α); Acute Phase Reactant—High-Sensitivity C-Reactive Protein (</w:t>
      </w:r>
      <w:proofErr w:type="spellStart"/>
      <w:r w:rsidRPr="00DF61FA">
        <w:rPr>
          <w:lang w:val="en-US"/>
        </w:rPr>
        <w:t>hs</w:t>
      </w:r>
      <w:proofErr w:type="spellEnd"/>
      <w:r w:rsidRPr="00DF61FA">
        <w:rPr>
          <w:lang w:val="en-US"/>
        </w:rPr>
        <w:t>-CRP).</w:t>
      </w:r>
      <w:r>
        <w:t xml:space="preserve"> </w:t>
      </w:r>
      <w:proofErr w:type="spellStart"/>
      <w:r w:rsidRPr="00DF61FA">
        <w:rPr>
          <w:lang w:val="en-US"/>
        </w:rPr>
        <w:t>Adipocytokines</w:t>
      </w:r>
      <w:proofErr w:type="spellEnd"/>
      <w:r w:rsidRPr="00DF61FA">
        <w:rPr>
          <w:lang w:val="en-US"/>
        </w:rPr>
        <w:t xml:space="preserve">: </w:t>
      </w:r>
      <w:proofErr w:type="spellStart"/>
      <w:r w:rsidRPr="00DF61FA">
        <w:rPr>
          <w:lang w:val="en-US"/>
        </w:rPr>
        <w:t>Adiponectin</w:t>
      </w:r>
      <w:proofErr w:type="spellEnd"/>
      <w:r w:rsidRPr="00DF61FA">
        <w:rPr>
          <w:lang w:val="en-US"/>
        </w:rPr>
        <w:t xml:space="preserve"> High Sensitive, Leptin, </w:t>
      </w:r>
      <w:proofErr w:type="spellStart"/>
      <w:r w:rsidRPr="00DF61FA">
        <w:rPr>
          <w:lang w:val="en-US"/>
        </w:rPr>
        <w:t>Adipoleptin</w:t>
      </w:r>
      <w:proofErr w:type="spellEnd"/>
      <w:r w:rsidRPr="00DF61FA">
        <w:rPr>
          <w:lang w:val="en-US"/>
        </w:rPr>
        <w:t xml:space="preserve">, and </w:t>
      </w:r>
      <w:proofErr w:type="spellStart"/>
      <w:r w:rsidRPr="00DF61FA">
        <w:rPr>
          <w:lang w:val="en-US"/>
        </w:rPr>
        <w:t>Visfatin</w:t>
      </w:r>
      <w:proofErr w:type="spellEnd"/>
      <w:r w:rsidRPr="00DF61FA">
        <w:rPr>
          <w:lang w:val="en-US"/>
        </w:rPr>
        <w:t xml:space="preserve">. (50).  </w:t>
      </w:r>
    </w:p>
    <w:p w:rsidR="008E3D28" w:rsidRPr="00DF61FA" w:rsidRDefault="008E3D28" w:rsidP="008E3D28">
      <w:pPr>
        <w:jc w:val="both"/>
        <w:rPr>
          <w:lang w:val="en-US"/>
        </w:rPr>
      </w:pPr>
      <w:r w:rsidRPr="00DF61FA">
        <w:rPr>
          <w:lang w:val="en-US"/>
        </w:rPr>
        <w:t xml:space="preserve">The </w:t>
      </w:r>
      <w:r>
        <w:rPr>
          <w:lang w:val="en-US"/>
        </w:rPr>
        <w:t xml:space="preserve">Depression </w:t>
      </w:r>
      <w:r w:rsidRPr="00DF61FA">
        <w:rPr>
          <w:lang w:val="en-US"/>
        </w:rPr>
        <w:t xml:space="preserve">scale comprises 16 items, each rated on a four-point Likert scale with the following values: 3 = </w:t>
      </w:r>
      <w:proofErr w:type="gramStart"/>
      <w:r w:rsidRPr="00DF61FA">
        <w:rPr>
          <w:lang w:val="en-US"/>
        </w:rPr>
        <w:t>Strongly</w:t>
      </w:r>
      <w:proofErr w:type="gramEnd"/>
      <w:r w:rsidRPr="00DF61FA">
        <w:rPr>
          <w:lang w:val="en-US"/>
        </w:rPr>
        <w:t xml:space="preserve"> agree, 2 = Agree, 1 = Partially agree, and 0 = Disagree. The first item is reverse-coded ("I enjoy all kinds of games and entertainment in my free time."). The other items examine depressive states (e.g. "Lately, I have been feeling more anxious and experiencing fears.", "I no longer have genuine close relationships with other people.", "</w:t>
      </w:r>
      <w:proofErr w:type="gramStart"/>
      <w:r w:rsidRPr="00DF61FA">
        <w:rPr>
          <w:lang w:val="en-US"/>
        </w:rPr>
        <w:t>I</w:t>
      </w:r>
      <w:proofErr w:type="gramEnd"/>
      <w:r w:rsidRPr="00DF61FA">
        <w:rPr>
          <w:lang w:val="en-US"/>
        </w:rPr>
        <w:t xml:space="preserve"> often feel simply unhappy."). </w:t>
      </w:r>
    </w:p>
    <w:p w:rsidR="008E3D28" w:rsidRPr="00DF61FA" w:rsidRDefault="008E3D28" w:rsidP="008E3D28">
      <w:pPr>
        <w:jc w:val="both"/>
        <w:rPr>
          <w:lang w:val="en-US"/>
        </w:rPr>
      </w:pPr>
      <w:r w:rsidRPr="00DF61FA">
        <w:rPr>
          <w:lang w:val="en-US"/>
        </w:rPr>
        <w:t>The Depression Scale, as most self-assessment scales measures subjective symptom presentation rather than psychiatric diagnostic criteria. The latter is typically inferred from observer-based rating scales (interviews). In that respect, we interpret the results as indicative of depressive symptoms (DS) and not of major depressive episode in the sense of diagnostic classification.</w:t>
      </w:r>
    </w:p>
    <w:p w:rsidR="00435B9A" w:rsidRDefault="00435B9A"/>
    <w:sectPr w:rsidR="00435B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ED3"/>
    <w:rsid w:val="00435B9A"/>
    <w:rsid w:val="004B7ED3"/>
    <w:rsid w:val="008E3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7C536E-ABA7-423D-AA01-59E72B281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3D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1965</Characters>
  <Application>Microsoft Office Word</Application>
  <DocSecurity>0</DocSecurity>
  <Lines>16</Lines>
  <Paragraphs>4</Paragraphs>
  <ScaleCrop>false</ScaleCrop>
  <Company/>
  <LinksUpToDate>false</LinksUpToDate>
  <CharactersWithSpaces>2305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2</cp:revision>
  <dcterms:created xsi:type="dcterms:W3CDTF">2026-01-07T13:14:00Z</dcterms:created>
  <dcterms:modified xsi:type="dcterms:W3CDTF">2026-01-07T13:15:00Z</dcterms:modified>
</cp:coreProperties>
</file>